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4901"/>
        <w:gridCol w:w="6274"/>
      </w:tblGrid>
      <w:tr w:rsidR="00DC0677" w:rsidRPr="00CF42D3" w14:paraId="359933BC" w14:textId="77777777" w:rsidTr="001C151B">
        <w:trPr>
          <w:tblHeader/>
        </w:trPr>
        <w:tc>
          <w:tcPr>
            <w:tcW w:w="1775" w:type="dxa"/>
          </w:tcPr>
          <w:p w14:paraId="2DADBAD5" w14:textId="77777777" w:rsidR="00DC0677" w:rsidRPr="00CF42D3" w:rsidRDefault="00DC0677" w:rsidP="00926D8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ISCAL YEAR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7CE53665" w14:textId="77777777" w:rsidR="00DC0677" w:rsidRPr="00CF42D3" w:rsidRDefault="00DC0677" w:rsidP="00926D8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ETAILS</w:t>
            </w:r>
          </w:p>
        </w:tc>
        <w:tc>
          <w:tcPr>
            <w:tcW w:w="6274" w:type="dxa"/>
          </w:tcPr>
          <w:p w14:paraId="0064C9AA" w14:textId="77777777" w:rsidR="00DC0677" w:rsidRPr="00CF42D3" w:rsidRDefault="00DC0677" w:rsidP="00926D8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NOTES</w:t>
            </w:r>
          </w:p>
        </w:tc>
      </w:tr>
      <w:tr w:rsidR="00C926E1" w:rsidRPr="00CF42D3" w14:paraId="726961F6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1B986D85" w14:textId="00B6401E" w:rsidR="00C926E1" w:rsidRDefault="00C926E1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FY2022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281" w14:textId="77777777" w:rsidR="00C926E1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595CFD89" w14:textId="7777777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$17,272</w:t>
            </w:r>
          </w:p>
          <w:p w14:paraId="5F776655" w14:textId="7777777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$1,124</w:t>
            </w:r>
          </w:p>
          <w:p w14:paraId="029DA47F" w14:textId="7777777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$18,396</w:t>
            </w:r>
          </w:p>
          <w:p w14:paraId="41AE5877" w14:textId="77777777" w:rsidR="00C926E1" w:rsidRPr="00EF1CF7" w:rsidRDefault="00C926E1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58849C34" w14:textId="71E503BA" w:rsidR="00C926E1" w:rsidRDefault="00561D23" w:rsidP="001C151B">
            <w:pPr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FY2022 unchanged from FY2021 &amp; FY2020.</w:t>
            </w:r>
          </w:p>
        </w:tc>
      </w:tr>
      <w:tr w:rsidR="00C926E1" w:rsidRPr="00CF42D3" w14:paraId="6C5A350D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72309399" w14:textId="498E101A" w:rsidR="00C926E1" w:rsidRDefault="00C926E1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FY2021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25E" w14:textId="77777777" w:rsidR="00C926E1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164F2A8D" w14:textId="7777777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$17,272</w:t>
            </w:r>
          </w:p>
          <w:p w14:paraId="762013FF" w14:textId="7777777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$1,124</w:t>
            </w:r>
          </w:p>
          <w:p w14:paraId="47AC275B" w14:textId="7777777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$18,396</w:t>
            </w:r>
          </w:p>
          <w:p w14:paraId="4C9B48CC" w14:textId="77777777" w:rsidR="00C926E1" w:rsidRPr="00EF1CF7" w:rsidRDefault="00C926E1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7C448975" w14:textId="243E485D" w:rsidR="00C926E1" w:rsidRDefault="00561D23" w:rsidP="001C151B">
            <w:pPr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FY2021 unchanged from FY2020.</w:t>
            </w:r>
          </w:p>
        </w:tc>
      </w:tr>
      <w:tr w:rsidR="00C926E1" w:rsidRPr="00CF42D3" w14:paraId="3A3DEFC5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649BD45D" w14:textId="46E4FA22" w:rsidR="00C926E1" w:rsidRDefault="00C926E1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0B9" w14:textId="77777777" w:rsidR="00C926E1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761A170D" w14:textId="3158D911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$17,272</w:t>
            </w:r>
          </w:p>
          <w:p w14:paraId="61F33280" w14:textId="2911A807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$1,124</w:t>
            </w:r>
          </w:p>
          <w:p w14:paraId="49E53E2D" w14:textId="45196C73" w:rsidR="00C926E1" w:rsidRPr="00EF1CF7" w:rsidRDefault="00C926E1" w:rsidP="00C926E1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$18,396</w:t>
            </w:r>
          </w:p>
          <w:p w14:paraId="492ED44B" w14:textId="77777777" w:rsidR="00C926E1" w:rsidRPr="00EF1CF7" w:rsidRDefault="00C926E1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2493194A" w14:textId="77777777" w:rsidR="00C926E1" w:rsidRDefault="00C926E1" w:rsidP="001C151B">
            <w:pPr>
              <w:rPr>
                <w:szCs w:val="20"/>
              </w:rPr>
            </w:pPr>
          </w:p>
        </w:tc>
      </w:tr>
      <w:tr w:rsidR="001C151B" w:rsidRPr="00CF42D3" w14:paraId="4CE4FB72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25DE8EA9" w14:textId="69D5105A" w:rsidR="001C151B" w:rsidRDefault="001C151B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ED1" w14:textId="77777777" w:rsidR="001C151B" w:rsidRDefault="001C151B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4939531D" w14:textId="0645AD2F" w:rsidR="001C151B" w:rsidRPr="00EF1CF7" w:rsidRDefault="001C151B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$16,672</w:t>
            </w:r>
          </w:p>
          <w:p w14:paraId="37365B8C" w14:textId="37BF2257" w:rsidR="001C151B" w:rsidRPr="00EF1CF7" w:rsidRDefault="001C151B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$1,085</w:t>
            </w:r>
          </w:p>
          <w:p w14:paraId="3B62E5CC" w14:textId="23D4146E" w:rsidR="001C151B" w:rsidRPr="00EF1CF7" w:rsidRDefault="001C151B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$17,757</w:t>
            </w:r>
          </w:p>
          <w:p w14:paraId="6613BAB1" w14:textId="77777777" w:rsidR="001C151B" w:rsidRPr="00EF1CF7" w:rsidRDefault="001C151B" w:rsidP="001C151B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1DEDF537" w14:textId="77777777" w:rsidR="001C151B" w:rsidRDefault="001C151B" w:rsidP="001C151B">
            <w:pPr>
              <w:rPr>
                <w:szCs w:val="20"/>
              </w:rPr>
            </w:pPr>
          </w:p>
        </w:tc>
      </w:tr>
      <w:tr w:rsidR="00EF1CF7" w:rsidRPr="00CF42D3" w14:paraId="473B8FD2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25B40F79" w14:textId="37FE0CA2" w:rsidR="00EF1CF7" w:rsidRDefault="00EF1CF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07E" w14:textId="1066AED5" w:rsidR="00EF1CF7" w:rsidRDefault="00EF1CF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4E4DDA8C" w14:textId="34B2EF7D" w:rsidR="00EF1CF7" w:rsidRPr="00EF1CF7" w:rsidRDefault="00EF1CF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$16,175</w:t>
            </w:r>
          </w:p>
          <w:p w14:paraId="3BC82BF3" w14:textId="6C5AC5F1" w:rsidR="00EF1CF7" w:rsidRPr="00EF1CF7" w:rsidRDefault="00EF1CF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$1</w:t>
            </w:r>
            <w:r w:rsidR="001C151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053</w:t>
            </w:r>
          </w:p>
          <w:p w14:paraId="7C100D71" w14:textId="3B17C52B" w:rsidR="00EF1CF7" w:rsidRPr="00EF1CF7" w:rsidRDefault="00EF1CF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F1CF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$17,228</w:t>
            </w:r>
          </w:p>
          <w:p w14:paraId="07C26090" w14:textId="1F08FBA6" w:rsidR="00EF1CF7" w:rsidRPr="00760E82" w:rsidRDefault="00EF1CF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46FF325A" w14:textId="77777777" w:rsidR="00EF1CF7" w:rsidRDefault="00EF1CF7" w:rsidP="00926D89">
            <w:pPr>
              <w:rPr>
                <w:szCs w:val="20"/>
              </w:rPr>
            </w:pPr>
          </w:p>
        </w:tc>
      </w:tr>
      <w:tr w:rsidR="00DC0677" w:rsidRPr="00CF42D3" w14:paraId="5776EDA4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516276E2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E2F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0CFC4200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$15,598</w:t>
            </w:r>
          </w:p>
          <w:p w14:paraId="447CB412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$1,015</w:t>
            </w:r>
          </w:p>
          <w:p w14:paraId="7F14E79C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$16,613</w:t>
            </w:r>
          </w:p>
          <w:p w14:paraId="60063A0A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69ED80E6" w14:textId="77777777" w:rsidR="00DC0677" w:rsidRDefault="00DC0677" w:rsidP="00926D89">
            <w:pPr>
              <w:rPr>
                <w:szCs w:val="20"/>
              </w:rPr>
            </w:pPr>
          </w:p>
        </w:tc>
      </w:tr>
      <w:tr w:rsidR="00DC0677" w:rsidRPr="00CF42D3" w14:paraId="4989FA6D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0887909C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FY2016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6F4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0CB75705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$14,632</w:t>
            </w:r>
          </w:p>
          <w:p w14:paraId="70920F43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$952</w:t>
            </w:r>
          </w:p>
          <w:p w14:paraId="2E60833D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$15,584</w:t>
            </w:r>
          </w:p>
          <w:p w14:paraId="4797856A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1AE60D93" w14:textId="77777777" w:rsidR="00DC0677" w:rsidRDefault="00DC0677" w:rsidP="00926D89">
            <w:pPr>
              <w:rPr>
                <w:szCs w:val="20"/>
              </w:rPr>
            </w:pPr>
            <w:r>
              <w:rPr>
                <w:szCs w:val="20"/>
              </w:rPr>
              <w:t xml:space="preserve">The Arizona Board of Regents approved increases in academic year 2015-16 graduate tuition rates that provided for differentiated increases for domestic non-resident and international non-resident graduate students at its meeting held on May 4, 2015.  There was no base rate increase for resident students.  </w:t>
            </w:r>
          </w:p>
          <w:p w14:paraId="06A3809F" w14:textId="77777777" w:rsidR="00DC0677" w:rsidRPr="007517B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DC0677" w:rsidRPr="00CF42D3" w14:paraId="451C4A5C" w14:textId="77777777" w:rsidTr="001C151B">
        <w:tc>
          <w:tcPr>
            <w:tcW w:w="1775" w:type="dxa"/>
            <w:tcBorders>
              <w:right w:val="single" w:sz="4" w:space="0" w:color="auto"/>
            </w:tcBorders>
          </w:tcPr>
          <w:p w14:paraId="4D58F6F2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976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</w:p>
          <w:p w14:paraId="3AD4751E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  $14,206</w:t>
            </w:r>
          </w:p>
          <w:p w14:paraId="039DE668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$924</w:t>
            </w:r>
          </w:p>
          <w:p w14:paraId="5B9CC379" w14:textId="77777777" w:rsidR="00DC0677" w:rsidRPr="00760E82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60E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      $15,130</w:t>
            </w:r>
          </w:p>
          <w:p w14:paraId="2803F2CB" w14:textId="77777777" w:rsidR="00DC0677" w:rsidRPr="009B336D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274" w:type="dxa"/>
            <w:tcBorders>
              <w:left w:val="single" w:sz="4" w:space="0" w:color="auto"/>
            </w:tcBorders>
          </w:tcPr>
          <w:p w14:paraId="3A86168F" w14:textId="77777777" w:rsidR="00DC0677" w:rsidRPr="007517B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DC0677" w:rsidRPr="00CF42D3" w14:paraId="0F10E020" w14:textId="77777777" w:rsidTr="001C151B">
        <w:tc>
          <w:tcPr>
            <w:tcW w:w="1775" w:type="dxa"/>
          </w:tcPr>
          <w:p w14:paraId="695D802A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FY2014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430AB5CE" w14:textId="77777777" w:rsidR="00DC0677" w:rsidRPr="009B336D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>AY                                            $13,792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$897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                                         $14,689</w:t>
            </w:r>
          </w:p>
        </w:tc>
        <w:tc>
          <w:tcPr>
            <w:tcW w:w="6274" w:type="dxa"/>
          </w:tcPr>
          <w:p w14:paraId="0CED84EB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517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The Arizona Board of Regents approved increases in academic year graduate tuition rates of 3% for both resident and non-resident graduate students at its meeting held on April 4, 2013.  Based on these increases, the direct charge tuition remission rates will increase by 3% for the academic year to $13,792 and the cost for one credit during the summer will increase by $26 to $897.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517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For grants grandfathered under the old percentage-based methodology until grant expiration or renewal, the rate will remain unchanged.  These new rates will become effective with the beginning of the Fall 2013 semester.</w:t>
            </w:r>
          </w:p>
        </w:tc>
      </w:tr>
      <w:tr w:rsidR="00DC0677" w:rsidRPr="00CF42D3" w14:paraId="4711DA35" w14:textId="77777777" w:rsidTr="001C151B">
        <w:tc>
          <w:tcPr>
            <w:tcW w:w="1775" w:type="dxa"/>
          </w:tcPr>
          <w:p w14:paraId="1572DA4F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FY2013</w:t>
            </w:r>
          </w:p>
        </w:tc>
        <w:tc>
          <w:tcPr>
            <w:tcW w:w="4901" w:type="dxa"/>
          </w:tcPr>
          <w:p w14:paraId="722DC264" w14:textId="77777777" w:rsidR="00DC0677" w:rsidRPr="009B336D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>AY                                            $13,390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$871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                                         $14,261</w:t>
            </w:r>
          </w:p>
        </w:tc>
        <w:tc>
          <w:tcPr>
            <w:tcW w:w="6274" w:type="dxa"/>
          </w:tcPr>
          <w:p w14:paraId="60877149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DC0677" w:rsidRPr="00CF42D3" w14:paraId="08EB1CD5" w14:textId="77777777" w:rsidTr="001C151B">
        <w:tc>
          <w:tcPr>
            <w:tcW w:w="1775" w:type="dxa"/>
          </w:tcPr>
          <w:p w14:paraId="12ECF12F" w14:textId="77777777" w:rsidR="00DC0677" w:rsidRPr="00CF42D3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FY2012</w:t>
            </w:r>
          </w:p>
        </w:tc>
        <w:tc>
          <w:tcPr>
            <w:tcW w:w="4901" w:type="dxa"/>
          </w:tcPr>
          <w:p w14:paraId="26ED47F5" w14:textId="77777777" w:rsidR="00DC0677" w:rsidRPr="009B336D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</w:pP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>AY                                            $13,000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$846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Total                                         $13,846</w:t>
            </w:r>
          </w:p>
        </w:tc>
        <w:tc>
          <w:tcPr>
            <w:tcW w:w="6274" w:type="dxa"/>
          </w:tcPr>
          <w:p w14:paraId="77EE3819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DC0677" w:rsidRPr="00CF42D3" w14:paraId="520B41CE" w14:textId="77777777" w:rsidTr="001C151B">
        <w:tc>
          <w:tcPr>
            <w:tcW w:w="1775" w:type="dxa"/>
          </w:tcPr>
          <w:p w14:paraId="3EBDD3B2" w14:textId="77777777" w:rsidR="00DC0677" w:rsidRPr="00CF42D3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FY2011</w:t>
            </w:r>
          </w:p>
        </w:tc>
        <w:tc>
          <w:tcPr>
            <w:tcW w:w="4901" w:type="dxa"/>
          </w:tcPr>
          <w:p w14:paraId="136F35F9" w14:textId="77777777" w:rsidR="00DC0677" w:rsidRPr="00CF42D3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 xml:space="preserve">AY                                            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$11,554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Summer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$753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Total                                         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$12,307</w:t>
            </w:r>
          </w:p>
        </w:tc>
        <w:tc>
          <w:tcPr>
            <w:tcW w:w="6274" w:type="dxa"/>
          </w:tcPr>
          <w:p w14:paraId="2C7650EC" w14:textId="77777777" w:rsidR="00DC0677" w:rsidRPr="009B0F0A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FY2011 unchanged from FY2010.</w:t>
            </w:r>
          </w:p>
        </w:tc>
      </w:tr>
      <w:tr w:rsidR="00DC0677" w:rsidRPr="00CF42D3" w14:paraId="020A69A9" w14:textId="77777777" w:rsidTr="001C151B">
        <w:tc>
          <w:tcPr>
            <w:tcW w:w="1775" w:type="dxa"/>
          </w:tcPr>
          <w:p w14:paraId="14E84E09" w14:textId="77777777" w:rsidR="00DC0677" w:rsidRPr="00CF42D3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FY2010</w:t>
            </w:r>
          </w:p>
        </w:tc>
        <w:tc>
          <w:tcPr>
            <w:tcW w:w="4901" w:type="dxa"/>
          </w:tcPr>
          <w:p w14:paraId="2F066CB6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B336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New Methodology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Period of Support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</w:t>
            </w:r>
            <w:r w:rsidRPr="009B336D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Amount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 xml:space="preserve">AY                                            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$11,554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Summer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            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$753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Total                                            </w:t>
            </w:r>
            <w:r w:rsidRPr="00CF42D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12,307</w:t>
            </w:r>
          </w:p>
          <w:p w14:paraId="248559DC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14:paraId="2AD51B4C" w14:textId="77777777" w:rsidR="00DC0677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14:paraId="4C850C4C" w14:textId="77777777" w:rsidR="00DC0677" w:rsidRPr="009B336D" w:rsidRDefault="00DC0677" w:rsidP="00926D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36D">
              <w:rPr>
                <w:rFonts w:ascii="Times New Roman" w:hAnsi="Times New Roman"/>
                <w:b/>
                <w:sz w:val="24"/>
                <w:szCs w:val="24"/>
              </w:rPr>
              <w:t>Old Methodology</w:t>
            </w:r>
          </w:p>
          <w:p w14:paraId="2735A9B6" w14:textId="77777777" w:rsidR="00DC0677" w:rsidRPr="00CF42D3" w:rsidRDefault="00DC0677" w:rsidP="00926D89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FY10 RA/TA Tuition Remission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(old grant methodology)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46.00%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FY 10 RA/TA Health Insurance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(all grants &amp; fund sources)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7.22%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Combined FY10 ERE Rate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53.22%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Plus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FY10 Risk Management Insurance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1.45%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CF42D3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54.67%</w:t>
            </w:r>
          </w:p>
        </w:tc>
        <w:tc>
          <w:tcPr>
            <w:tcW w:w="6274" w:type="dxa"/>
          </w:tcPr>
          <w:p w14:paraId="50BC6663" w14:textId="77777777" w:rsidR="00DC0677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 xml:space="preserve">All new proposals submitted after January 1, 2009 should have used the new blended tuition rate. For the FY10 academic year, the blended rate is $13,554; this amount will initially be subsidized by the University by $2,000, with a net charge of </w:t>
            </w:r>
            <w:r w:rsidRPr="00CF42D3">
              <w:rPr>
                <w:rFonts w:ascii="Times New Roman" w:hAnsi="Times New Roman"/>
                <w:b/>
                <w:sz w:val="24"/>
                <w:szCs w:val="24"/>
              </w:rPr>
              <w:t>$11,554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. [Note that in order to help with the transition, the level of subsidy has been increased from the previously announced level of $1,000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(from 7/9/09 Capaldi memo).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 xml:space="preserve">] One credit hour of tuition will be charged during the summer at </w:t>
            </w:r>
            <w:r w:rsidRPr="00CF42D3">
              <w:rPr>
                <w:rFonts w:ascii="Times New Roman" w:hAnsi="Times New Roman"/>
                <w:b/>
                <w:sz w:val="24"/>
                <w:szCs w:val="24"/>
              </w:rPr>
              <w:t>$753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B0B170" w14:textId="77777777" w:rsidR="00DC0677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40ED9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Sponsored grants that were budgeted based on the old methodology, which used a rate based upon the percentage of sponsored paid, will continue to be assessed the costs based on updated rates until their expiration or renewal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The overall TA/RA ERE rate, utilizing the old methodology, is 54.67% for FY10, which is an increase over the current year’s assessed, subsidized rate and is based on estimated actual costs. The FY09 rate included a subsidy to offset the cost of graduate tuition increases. The rate this year partially eliminates that subsidy.</w:t>
            </w:r>
          </w:p>
        </w:tc>
      </w:tr>
      <w:tr w:rsidR="00DC0677" w:rsidRPr="00CF42D3" w14:paraId="1358D96E" w14:textId="77777777" w:rsidTr="001C151B">
        <w:tc>
          <w:tcPr>
            <w:tcW w:w="1775" w:type="dxa"/>
          </w:tcPr>
          <w:p w14:paraId="64842F2A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FY2009</w:t>
            </w:r>
          </w:p>
        </w:tc>
        <w:tc>
          <w:tcPr>
            <w:tcW w:w="4901" w:type="dxa"/>
          </w:tcPr>
          <w:p w14:paraId="3E1255FF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FY09 RA/TA Tuition Remission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41.28%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FY09 RA/TA Health Insurance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7.75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FY09 Workers Comp/Unemployment Ins.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0.47%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Combined FY09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 xml:space="preserve"> 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49.50%</w:t>
            </w:r>
          </w:p>
          <w:p w14:paraId="6079EC27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FY10 Risk Management Ins.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1.45%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CF42D3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50.50%</w:t>
            </w:r>
          </w:p>
        </w:tc>
        <w:tc>
          <w:tcPr>
            <w:tcW w:w="6274" w:type="dxa"/>
          </w:tcPr>
          <w:p w14:paraId="4065902D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677" w:rsidRPr="00CF42D3" w14:paraId="358F7245" w14:textId="77777777" w:rsidTr="001C151B">
        <w:tc>
          <w:tcPr>
            <w:tcW w:w="1775" w:type="dxa"/>
          </w:tcPr>
          <w:p w14:paraId="529A0496" w14:textId="77777777" w:rsidR="00DC0677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FY2008</w:t>
            </w:r>
          </w:p>
        </w:tc>
        <w:tc>
          <w:tcPr>
            <w:tcW w:w="4901" w:type="dxa"/>
          </w:tcPr>
          <w:p w14:paraId="79AECE19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FY08 RA/TA Tuition Remission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34.86%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FY08 RA/TA Health Insurance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6.40%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FY08 Workers Comp/Unemployment Ins.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0.47%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 xml:space="preserve">Combined </w:t>
            </w:r>
            <w:r>
              <w:rPr>
                <w:rFonts w:ascii="Times New Roman" w:hAnsi="Times New Roman"/>
                <w:sz w:val="24"/>
                <w:szCs w:val="24"/>
              </w:rPr>
              <w:t>FY08 ERE R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ate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41.73%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3BD2">
              <w:rPr>
                <w:rFonts w:ascii="Times New Roman" w:hAnsi="Times New Roman"/>
                <w:sz w:val="24"/>
                <w:szCs w:val="24"/>
                <w:u w:val="single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FY08 Risk Management Ins.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  <w:u w:val="single"/>
              </w:rPr>
              <w:t>1.00%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Total FY08 Rate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42.73%</w:t>
            </w:r>
          </w:p>
        </w:tc>
        <w:tc>
          <w:tcPr>
            <w:tcW w:w="6274" w:type="dxa"/>
          </w:tcPr>
          <w:p w14:paraId="42258C98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677" w:rsidRPr="00CF42D3" w14:paraId="6449E8F2" w14:textId="77777777" w:rsidTr="001C151B">
        <w:tc>
          <w:tcPr>
            <w:tcW w:w="1775" w:type="dxa"/>
          </w:tcPr>
          <w:p w14:paraId="5B1F8CBE" w14:textId="77777777" w:rsidR="00DC0677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FY2007</w:t>
            </w:r>
          </w:p>
        </w:tc>
        <w:tc>
          <w:tcPr>
            <w:tcW w:w="4901" w:type="dxa"/>
          </w:tcPr>
          <w:p w14:paraId="64674065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FY07 RA/TA Tuition Remission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33.70%</w:t>
            </w:r>
          </w:p>
          <w:p w14:paraId="681E47B1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FY07 RA/TA Health Ins</w:t>
            </w:r>
            <w:r>
              <w:rPr>
                <w:rFonts w:ascii="Times New Roman" w:hAnsi="Times New Roman"/>
                <w:sz w:val="24"/>
                <w:szCs w:val="24"/>
              </w:rPr>
              <w:t>urance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5.80%</w:t>
            </w:r>
          </w:p>
          <w:p w14:paraId="6CB14BCE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CF42D3">
              <w:rPr>
                <w:rFonts w:ascii="Times New Roman" w:hAnsi="Times New Roman"/>
                <w:sz w:val="24"/>
                <w:szCs w:val="24"/>
              </w:rPr>
              <w:t>FY07 Workers Com/Unemployment Ins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B93B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0.47%</w:t>
            </w:r>
          </w:p>
          <w:p w14:paraId="68B61D5D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Combined FY07 ERE R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ate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39.97%</w:t>
            </w:r>
          </w:p>
          <w:p w14:paraId="2D91589F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 w:rsidRPr="00B93BD2">
              <w:rPr>
                <w:rFonts w:ascii="Times New Roman" w:hAnsi="Times New Roman"/>
                <w:sz w:val="24"/>
                <w:szCs w:val="24"/>
                <w:u w:val="single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FY07 Risk Management Ins.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93BD2">
              <w:rPr>
                <w:rFonts w:ascii="Times New Roman" w:hAnsi="Times New Roman"/>
                <w:sz w:val="24"/>
                <w:szCs w:val="24"/>
                <w:u w:val="single"/>
              </w:rPr>
              <w:t>0.89%</w:t>
            </w:r>
          </w:p>
          <w:p w14:paraId="3C018B74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FY07 R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ate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  <w:t>40.86%</w:t>
            </w:r>
          </w:p>
        </w:tc>
        <w:tc>
          <w:tcPr>
            <w:tcW w:w="6274" w:type="dxa"/>
          </w:tcPr>
          <w:p w14:paraId="224FA3C1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677" w:rsidRPr="00CF42D3" w14:paraId="54417562" w14:textId="77777777" w:rsidTr="001C151B">
        <w:tc>
          <w:tcPr>
            <w:tcW w:w="1775" w:type="dxa"/>
          </w:tcPr>
          <w:p w14:paraId="027A70D9" w14:textId="77777777" w:rsidR="00DC0677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FY2006</w:t>
            </w:r>
          </w:p>
        </w:tc>
        <w:tc>
          <w:tcPr>
            <w:tcW w:w="4901" w:type="dxa"/>
          </w:tcPr>
          <w:p w14:paraId="2E47DBA5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RA/TA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 xml:space="preserve">Tuition Remission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Health Ins</w:t>
            </w:r>
            <w:r>
              <w:rPr>
                <w:rFonts w:ascii="Times New Roman" w:hAnsi="Times New Roman"/>
                <w:sz w:val="24"/>
                <w:szCs w:val="24"/>
              </w:rPr>
              <w:t>urance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66%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Workers Comp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/>
                <w:sz w:val="24"/>
                <w:szCs w:val="24"/>
              </w:rPr>
              <w:t>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Unemployment Ins.                                          0.050%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>Risk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Management                                            </w:t>
            </w:r>
            <w:r w:rsidRPr="003F4757">
              <w:rPr>
                <w:rFonts w:ascii="Times New Roman" w:hAnsi="Times New Roman"/>
                <w:sz w:val="24"/>
                <w:szCs w:val="24"/>
                <w:u w:val="single"/>
              </w:rPr>
              <w:t>1.084%</w:t>
            </w:r>
            <w:r w:rsidRPr="00CF42D3">
              <w:rPr>
                <w:rFonts w:ascii="Times New Roman" w:hAnsi="Times New Roman"/>
                <w:sz w:val="24"/>
                <w:szCs w:val="24"/>
              </w:rPr>
              <w:br/>
              <w:t xml:space="preserve">Total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F42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74" w:type="dxa"/>
          </w:tcPr>
          <w:p w14:paraId="15C2263B" w14:textId="77777777" w:rsidR="00DC0677" w:rsidRPr="00CF42D3" w:rsidRDefault="00DC0677" w:rsidP="0092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36CCE" w14:textId="16DF3BC5" w:rsidR="003C7EA0" w:rsidRPr="00DC0677" w:rsidRDefault="003C7EA0" w:rsidP="00DC0677"/>
    <w:sectPr w:rsidR="003C7EA0" w:rsidRPr="00DC0677" w:rsidSect="00030FD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CC0" w14:textId="77777777" w:rsidR="001776D3" w:rsidRDefault="001776D3" w:rsidP="00E65304">
      <w:pPr>
        <w:spacing w:after="0" w:line="240" w:lineRule="auto"/>
      </w:pPr>
      <w:r>
        <w:separator/>
      </w:r>
    </w:p>
  </w:endnote>
  <w:endnote w:type="continuationSeparator" w:id="0">
    <w:p w14:paraId="7BFA351C" w14:textId="77777777" w:rsidR="001776D3" w:rsidRDefault="001776D3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19"/>
      <w:gridCol w:w="2841"/>
    </w:tblGrid>
    <w:tr w:rsidR="004571D7" w:rsidRPr="0095447B" w14:paraId="03336CD9" w14:textId="77777777" w:rsidTr="004134BB">
      <w:tc>
        <w:tcPr>
          <w:tcW w:w="3904" w:type="pct"/>
          <w:tcBorders>
            <w:top w:val="single" w:sz="4" w:space="0" w:color="000000" w:themeColor="text1"/>
          </w:tcBorders>
          <w:vAlign w:val="center"/>
        </w:tcPr>
        <w:p w14:paraId="03336CD7" w14:textId="77777777" w:rsidR="004571D7" w:rsidRPr="0095447B" w:rsidRDefault="00000000" w:rsidP="005C298D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4571D7" w:rsidRPr="0095447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109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14:paraId="03336CD8" w14:textId="39A7BB39" w:rsidR="004571D7" w:rsidRPr="0095447B" w:rsidRDefault="006F7F41" w:rsidP="00533A33">
          <w:pPr>
            <w:pStyle w:val="Header"/>
            <w:rPr>
              <w:color w:val="FFFFFF" w:themeColor="background1"/>
              <w:szCs w:val="20"/>
            </w:rPr>
          </w:pPr>
          <w:r w:rsidRPr="0095447B">
            <w:rPr>
              <w:color w:val="FFFFFF" w:themeColor="background1"/>
              <w:szCs w:val="20"/>
            </w:rPr>
            <w:t xml:space="preserve">Page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EF1CF7">
            <w:rPr>
              <w:bCs/>
              <w:noProof/>
              <w:color w:val="FFFFFF" w:themeColor="background1"/>
              <w:szCs w:val="20"/>
            </w:rPr>
            <w:t>1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  <w:r w:rsidRPr="0095447B">
            <w:rPr>
              <w:color w:val="FFFFFF" w:themeColor="background1"/>
              <w:szCs w:val="20"/>
            </w:rPr>
            <w:t xml:space="preserve"> of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EF1CF7">
            <w:rPr>
              <w:bCs/>
              <w:noProof/>
              <w:color w:val="FFFFFF" w:themeColor="background1"/>
              <w:szCs w:val="20"/>
            </w:rPr>
            <w:t>4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03336CDA" w14:textId="77777777" w:rsidR="004571D7" w:rsidRDefault="004571D7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2AE0" w14:textId="77777777" w:rsidR="001776D3" w:rsidRDefault="001776D3" w:rsidP="00E65304">
      <w:pPr>
        <w:spacing w:after="0" w:line="240" w:lineRule="auto"/>
      </w:pPr>
      <w:r>
        <w:separator/>
      </w:r>
    </w:p>
  </w:footnote>
  <w:footnote w:type="continuationSeparator" w:id="0">
    <w:p w14:paraId="1C8E6E58" w14:textId="77777777" w:rsidR="001776D3" w:rsidRDefault="001776D3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71"/>
      <w:gridCol w:w="2789"/>
    </w:tblGrid>
    <w:tr w:rsidR="004571D7" w:rsidRPr="008E0136" w14:paraId="03336CD5" w14:textId="77777777" w:rsidTr="00DC0677">
      <w:tc>
        <w:tcPr>
          <w:tcW w:w="3924" w:type="pct"/>
          <w:tcBorders>
            <w:bottom w:val="single" w:sz="4" w:space="0" w:color="auto"/>
          </w:tcBorders>
          <w:vAlign w:val="center"/>
        </w:tcPr>
        <w:p w14:paraId="03336CD3" w14:textId="405293AE" w:rsidR="004571D7" w:rsidRPr="00D65D70" w:rsidRDefault="00DC0677" w:rsidP="0032643D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Historical Tuition Remission Rates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21-06-14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07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14:paraId="03336CD4" w14:textId="31C50773" w:rsidR="004571D7" w:rsidRPr="008E0136" w:rsidRDefault="00D17442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June 14, 2021</w:t>
              </w:r>
            </w:p>
          </w:tc>
        </w:sdtContent>
      </w:sdt>
    </w:tr>
  </w:tbl>
  <w:p w14:paraId="03336CD6" w14:textId="77777777" w:rsidR="004571D7" w:rsidRDefault="00457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91"/>
    <w:rsid w:val="00030FD3"/>
    <w:rsid w:val="000B2E95"/>
    <w:rsid w:val="000C4FB8"/>
    <w:rsid w:val="000F7A0F"/>
    <w:rsid w:val="00174B75"/>
    <w:rsid w:val="001776D3"/>
    <w:rsid w:val="001A2432"/>
    <w:rsid w:val="001B1FFF"/>
    <w:rsid w:val="001C151B"/>
    <w:rsid w:val="001C6EBD"/>
    <w:rsid w:val="0021660E"/>
    <w:rsid w:val="002304D0"/>
    <w:rsid w:val="002A12A7"/>
    <w:rsid w:val="002B5224"/>
    <w:rsid w:val="0032643D"/>
    <w:rsid w:val="003A29E3"/>
    <w:rsid w:val="003C7EA0"/>
    <w:rsid w:val="003D514C"/>
    <w:rsid w:val="003E33B6"/>
    <w:rsid w:val="004134BB"/>
    <w:rsid w:val="004571D7"/>
    <w:rsid w:val="00484A3E"/>
    <w:rsid w:val="004E2BF6"/>
    <w:rsid w:val="004F6DCB"/>
    <w:rsid w:val="00514544"/>
    <w:rsid w:val="0051673F"/>
    <w:rsid w:val="00533A33"/>
    <w:rsid w:val="00540774"/>
    <w:rsid w:val="005437DB"/>
    <w:rsid w:val="00561D23"/>
    <w:rsid w:val="005640CB"/>
    <w:rsid w:val="00584227"/>
    <w:rsid w:val="0059571D"/>
    <w:rsid w:val="005A5807"/>
    <w:rsid w:val="005C298D"/>
    <w:rsid w:val="005C5E4D"/>
    <w:rsid w:val="005E58ED"/>
    <w:rsid w:val="00601F71"/>
    <w:rsid w:val="0060404A"/>
    <w:rsid w:val="00614CD9"/>
    <w:rsid w:val="006D7CDC"/>
    <w:rsid w:val="006E102A"/>
    <w:rsid w:val="006F7F41"/>
    <w:rsid w:val="0072785A"/>
    <w:rsid w:val="0073138C"/>
    <w:rsid w:val="00746840"/>
    <w:rsid w:val="007A26F3"/>
    <w:rsid w:val="007E4C73"/>
    <w:rsid w:val="007F5E35"/>
    <w:rsid w:val="008002C2"/>
    <w:rsid w:val="00816777"/>
    <w:rsid w:val="008B1F5D"/>
    <w:rsid w:val="008B7A32"/>
    <w:rsid w:val="008E0136"/>
    <w:rsid w:val="00913047"/>
    <w:rsid w:val="0095447B"/>
    <w:rsid w:val="00965B23"/>
    <w:rsid w:val="00976D69"/>
    <w:rsid w:val="00986248"/>
    <w:rsid w:val="009F3834"/>
    <w:rsid w:val="009F3839"/>
    <w:rsid w:val="009F56C8"/>
    <w:rsid w:val="00A035B2"/>
    <w:rsid w:val="00A306D3"/>
    <w:rsid w:val="00A57883"/>
    <w:rsid w:val="00A57B2A"/>
    <w:rsid w:val="00A61D48"/>
    <w:rsid w:val="00AC0FCD"/>
    <w:rsid w:val="00AC623F"/>
    <w:rsid w:val="00AE0B70"/>
    <w:rsid w:val="00AF0D9F"/>
    <w:rsid w:val="00B03852"/>
    <w:rsid w:val="00B03FAA"/>
    <w:rsid w:val="00B10AA8"/>
    <w:rsid w:val="00B62AE2"/>
    <w:rsid w:val="00B91418"/>
    <w:rsid w:val="00BE33DB"/>
    <w:rsid w:val="00C36A52"/>
    <w:rsid w:val="00C44EC7"/>
    <w:rsid w:val="00C67225"/>
    <w:rsid w:val="00C7708B"/>
    <w:rsid w:val="00C77FC6"/>
    <w:rsid w:val="00C926E1"/>
    <w:rsid w:val="00CB1E40"/>
    <w:rsid w:val="00CC2E60"/>
    <w:rsid w:val="00CC5087"/>
    <w:rsid w:val="00D00F72"/>
    <w:rsid w:val="00D17442"/>
    <w:rsid w:val="00D21FA1"/>
    <w:rsid w:val="00D25382"/>
    <w:rsid w:val="00D65D70"/>
    <w:rsid w:val="00D66B87"/>
    <w:rsid w:val="00DA2791"/>
    <w:rsid w:val="00DC0677"/>
    <w:rsid w:val="00DD2431"/>
    <w:rsid w:val="00DD6EF1"/>
    <w:rsid w:val="00DE15FC"/>
    <w:rsid w:val="00E14200"/>
    <w:rsid w:val="00E65304"/>
    <w:rsid w:val="00E771C1"/>
    <w:rsid w:val="00E8129F"/>
    <w:rsid w:val="00EF1CF7"/>
    <w:rsid w:val="00F42D51"/>
    <w:rsid w:val="00F60DCA"/>
    <w:rsid w:val="00F64555"/>
    <w:rsid w:val="00FA30F0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6CBF"/>
  <w15:docId w15:val="{A5AD79EF-A7E6-49D4-AD9B-8C569F7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table" w:styleId="TableGrid">
    <w:name w:val="Table Grid"/>
    <w:basedOn w:val="TableNormal"/>
    <w:uiPriority w:val="59"/>
    <w:rsid w:val="00DC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bento\Dropbox%20(ASU)\Job-Ai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2021-06-14T00:00:00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7CFEA0-C387-4757-85B5-6C05DF9DA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669DA-47CB-42FA-9D3D-A9ADCD17567C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42DCC1B-00EB-4272-9A79-3AD5B6407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Job-Aid-Template</Template>
  <TotalTime>0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mlobento</dc:creator>
  <cp:lastModifiedBy>Jenny Dunaway</cp:lastModifiedBy>
  <cp:revision>2</cp:revision>
  <dcterms:created xsi:type="dcterms:W3CDTF">2023-10-28T00:06:00Z</dcterms:created>
  <dcterms:modified xsi:type="dcterms:W3CDTF">2023-10-28T00:06:00Z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