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4529" w14:textId="77777777" w:rsidR="00F7734D" w:rsidRPr="0021660E" w:rsidRDefault="00F7734D" w:rsidP="00F7734D">
      <w:pPr>
        <w:spacing w:after="0"/>
      </w:pPr>
    </w:p>
    <w:p w14:paraId="26EC5C39" w14:textId="41682BC8" w:rsidR="003C7EA0" w:rsidRDefault="00DB1753" w:rsidP="00F7734D">
      <w:pPr>
        <w:spacing w:after="0"/>
        <w:rPr>
          <w:szCs w:val="20"/>
        </w:rPr>
      </w:pPr>
      <w:r>
        <w:rPr>
          <w:rStyle w:val="Heading3Char0"/>
        </w:rPr>
        <w:t>Introduction</w:t>
      </w:r>
      <w:r w:rsidR="003C7EA0" w:rsidRPr="0021660E">
        <w:rPr>
          <w:szCs w:val="20"/>
        </w:rPr>
        <w:t xml:space="preserve"> </w:t>
      </w:r>
    </w:p>
    <w:p w14:paraId="4888F98B" w14:textId="1DB76712" w:rsidR="00DB1753" w:rsidRDefault="00DB1753" w:rsidP="00DB1753">
      <w:pPr>
        <w:spacing w:after="0"/>
        <w:rPr>
          <w:szCs w:val="20"/>
        </w:rPr>
      </w:pPr>
      <w:r>
        <w:rPr>
          <w:szCs w:val="20"/>
        </w:rPr>
        <w:t xml:space="preserve">When preparing a </w:t>
      </w:r>
      <w:hyperlink r:id="rId11" w:history="1">
        <w:r w:rsidRPr="00DB1753">
          <w:rPr>
            <w:rStyle w:val="Hyperlink"/>
            <w:szCs w:val="20"/>
          </w:rPr>
          <w:t>Charitable Grant application</w:t>
        </w:r>
      </w:hyperlink>
      <w:r>
        <w:rPr>
          <w:szCs w:val="20"/>
        </w:rPr>
        <w:t>, or other non-federal proposal for funding, a</w:t>
      </w:r>
      <w:r w:rsidRPr="00DB1753">
        <w:rPr>
          <w:szCs w:val="20"/>
        </w:rPr>
        <w:t>pplicable project costs normally funded as indirect costs</w:t>
      </w:r>
      <w:r>
        <w:rPr>
          <w:szCs w:val="20"/>
        </w:rPr>
        <w:t xml:space="preserve"> </w:t>
      </w:r>
      <w:r w:rsidRPr="00DB1753">
        <w:rPr>
          <w:szCs w:val="20"/>
        </w:rPr>
        <w:t>should be included as direct costs wherever possible.</w:t>
      </w:r>
    </w:p>
    <w:p w14:paraId="1FF9D0A5" w14:textId="4DC60728" w:rsidR="001C1E4D" w:rsidRDefault="001C1E4D" w:rsidP="00DB1753">
      <w:pPr>
        <w:spacing w:after="0"/>
        <w:rPr>
          <w:szCs w:val="20"/>
        </w:rPr>
      </w:pPr>
    </w:p>
    <w:p w14:paraId="410D72BB" w14:textId="5D74102C" w:rsidR="001C1E4D" w:rsidRDefault="001C1E4D" w:rsidP="00DB1753">
      <w:pPr>
        <w:spacing w:after="0"/>
        <w:rPr>
          <w:szCs w:val="20"/>
        </w:rPr>
      </w:pPr>
      <w:r>
        <w:rPr>
          <w:szCs w:val="20"/>
        </w:rPr>
        <w:t xml:space="preserve">It is recommended that ASU units review their portfolio and identify resources that have been (or are being) incurred to support sponsored projects at the unit </w:t>
      </w:r>
      <w:r w:rsidR="004C65EB">
        <w:rPr>
          <w:szCs w:val="20"/>
        </w:rPr>
        <w:t>level and</w:t>
      </w:r>
      <w:r>
        <w:rPr>
          <w:szCs w:val="20"/>
        </w:rPr>
        <w:t xml:space="preserve"> determine which types of administrative expenses they prefer to include in proposal budgets as direct costs</w:t>
      </w:r>
      <w:r w:rsidR="004C65EB">
        <w:rPr>
          <w:szCs w:val="20"/>
        </w:rPr>
        <w:t>, when possible</w:t>
      </w:r>
      <w:r>
        <w:rPr>
          <w:szCs w:val="20"/>
        </w:rPr>
        <w:t>.</w:t>
      </w:r>
    </w:p>
    <w:p w14:paraId="32BA3E4C" w14:textId="77777777" w:rsidR="002C6764" w:rsidRDefault="002C6764" w:rsidP="002C6764">
      <w:pPr>
        <w:spacing w:after="0"/>
        <w:rPr>
          <w:szCs w:val="20"/>
        </w:rPr>
      </w:pPr>
    </w:p>
    <w:p w14:paraId="461842FD" w14:textId="0B7D7810" w:rsidR="002C6764" w:rsidRPr="002C6764" w:rsidRDefault="002C6764" w:rsidP="002C6764">
      <w:pPr>
        <w:spacing w:after="0"/>
        <w:rPr>
          <w:i/>
          <w:iCs/>
          <w:szCs w:val="20"/>
        </w:rPr>
      </w:pPr>
      <w:r w:rsidRPr="002C6764">
        <w:rPr>
          <w:i/>
          <w:iCs/>
          <w:szCs w:val="20"/>
        </w:rPr>
        <w:t>Note: Variability among non-federal sponsors’ policies and a lack of specificity in policies or award terms may require additional scrutiny and judgment in determining what costs can be charged as direct expenses that may normally be considered indirect costs.</w:t>
      </w:r>
    </w:p>
    <w:p w14:paraId="26B9234D" w14:textId="3598FC55" w:rsidR="00F7734D" w:rsidRDefault="00F7734D" w:rsidP="00F7734D">
      <w:pPr>
        <w:spacing w:after="0"/>
        <w:rPr>
          <w:szCs w:val="20"/>
        </w:rPr>
      </w:pPr>
    </w:p>
    <w:p w14:paraId="4915130F" w14:textId="77777777" w:rsidR="00DB1753" w:rsidRPr="0021660E" w:rsidRDefault="00DB1753" w:rsidP="00F7734D">
      <w:pPr>
        <w:spacing w:after="0"/>
        <w:rPr>
          <w:szCs w:val="20"/>
        </w:rPr>
      </w:pPr>
    </w:p>
    <w:p w14:paraId="694AB66C" w14:textId="7A7AB35B" w:rsidR="00DB1753" w:rsidRDefault="00DB1753" w:rsidP="00F7734D">
      <w:pPr>
        <w:spacing w:after="0"/>
        <w:rPr>
          <w:szCs w:val="20"/>
        </w:rPr>
      </w:pPr>
      <w:r>
        <w:rPr>
          <w:rStyle w:val="Heading3Char0"/>
        </w:rPr>
        <w:t>LIST OF EXAMPLES</w:t>
      </w:r>
      <w:r w:rsidRPr="0021660E">
        <w:rPr>
          <w:szCs w:val="20"/>
        </w:rPr>
        <w:t xml:space="preserve"> </w:t>
      </w:r>
    </w:p>
    <w:p w14:paraId="32A19969" w14:textId="054B48FC" w:rsidR="00DB1753" w:rsidRPr="00DB1753" w:rsidRDefault="00DB1753" w:rsidP="00DB1753">
      <w:pPr>
        <w:spacing w:after="0"/>
        <w:rPr>
          <w:szCs w:val="20"/>
        </w:rPr>
      </w:pPr>
      <w:r w:rsidRPr="00DB1753">
        <w:rPr>
          <w:szCs w:val="20"/>
        </w:rPr>
        <w:t xml:space="preserve">The following are examples of administrative/clerical costs and activities that could be considered integral to a non-federal </w:t>
      </w:r>
      <w:r>
        <w:rPr>
          <w:szCs w:val="20"/>
        </w:rPr>
        <w:t>a</w:t>
      </w:r>
      <w:r w:rsidRPr="00DB1753">
        <w:rPr>
          <w:szCs w:val="20"/>
        </w:rPr>
        <w:t xml:space="preserve">ward and </w:t>
      </w:r>
      <w:r w:rsidR="002C6764">
        <w:rPr>
          <w:szCs w:val="20"/>
        </w:rPr>
        <w:t xml:space="preserve">could typically be </w:t>
      </w:r>
      <w:r w:rsidRPr="00DB1753">
        <w:rPr>
          <w:szCs w:val="20"/>
        </w:rPr>
        <w:t xml:space="preserve">direct billed to that </w:t>
      </w:r>
      <w:r>
        <w:rPr>
          <w:szCs w:val="20"/>
        </w:rPr>
        <w:t>a</w:t>
      </w:r>
      <w:r w:rsidRPr="00DB1753">
        <w:rPr>
          <w:szCs w:val="20"/>
        </w:rPr>
        <w:t>ward</w:t>
      </w:r>
      <w:r w:rsidR="002C6764">
        <w:rPr>
          <w:szCs w:val="20"/>
        </w:rPr>
        <w:t xml:space="preserve"> (if allowable)</w:t>
      </w:r>
      <w:r w:rsidRPr="00DB1753">
        <w:rPr>
          <w:szCs w:val="20"/>
        </w:rPr>
        <w:t>:</w:t>
      </w:r>
    </w:p>
    <w:p w14:paraId="7C872FC7" w14:textId="321D4F75" w:rsidR="00DB1753" w:rsidRDefault="00DB1753" w:rsidP="001C1E4D">
      <w:pPr>
        <w:pStyle w:val="ListParagraph"/>
        <w:numPr>
          <w:ilvl w:val="0"/>
          <w:numId w:val="1"/>
        </w:numPr>
        <w:spacing w:after="0"/>
        <w:rPr>
          <w:szCs w:val="20"/>
        </w:rPr>
      </w:pPr>
      <w:r w:rsidRPr="001C1E4D">
        <w:rPr>
          <w:szCs w:val="20"/>
        </w:rPr>
        <w:t>Financial specialist</w:t>
      </w:r>
    </w:p>
    <w:p w14:paraId="297DFC3E" w14:textId="79C85131" w:rsidR="006F12D3" w:rsidRPr="001C1E4D" w:rsidRDefault="006F12D3" w:rsidP="001C1E4D">
      <w:pPr>
        <w:pStyle w:val="ListParagraph"/>
        <w:numPr>
          <w:ilvl w:val="0"/>
          <w:numId w:val="1"/>
        </w:numPr>
        <w:spacing w:after="0"/>
        <w:rPr>
          <w:szCs w:val="20"/>
        </w:rPr>
      </w:pPr>
      <w:r>
        <w:rPr>
          <w:szCs w:val="20"/>
        </w:rPr>
        <w:t>Research Advancement staff</w:t>
      </w:r>
    </w:p>
    <w:p w14:paraId="6940CEF1" w14:textId="114C770C" w:rsidR="00DB1753" w:rsidRPr="001C1E4D" w:rsidRDefault="00DB1753" w:rsidP="001C1E4D">
      <w:pPr>
        <w:pStyle w:val="ListParagraph"/>
        <w:numPr>
          <w:ilvl w:val="0"/>
          <w:numId w:val="1"/>
        </w:numPr>
        <w:spacing w:after="0"/>
        <w:rPr>
          <w:szCs w:val="20"/>
        </w:rPr>
      </w:pPr>
      <w:r w:rsidRPr="001C1E4D">
        <w:rPr>
          <w:szCs w:val="20"/>
        </w:rPr>
        <w:t xml:space="preserve">Accountant </w:t>
      </w:r>
    </w:p>
    <w:p w14:paraId="764FD1E2" w14:textId="2848D98C" w:rsidR="00DB1753" w:rsidRPr="001C1E4D" w:rsidRDefault="00DB1753" w:rsidP="001C1E4D">
      <w:pPr>
        <w:pStyle w:val="ListParagraph"/>
        <w:numPr>
          <w:ilvl w:val="0"/>
          <w:numId w:val="1"/>
        </w:numPr>
        <w:spacing w:after="0"/>
        <w:rPr>
          <w:szCs w:val="20"/>
        </w:rPr>
      </w:pPr>
      <w:r w:rsidRPr="001C1E4D">
        <w:rPr>
          <w:szCs w:val="20"/>
        </w:rPr>
        <w:t xml:space="preserve">Business Operations </w:t>
      </w:r>
      <w:r w:rsidR="006B3DA9">
        <w:rPr>
          <w:szCs w:val="20"/>
        </w:rPr>
        <w:t>staff</w:t>
      </w:r>
    </w:p>
    <w:p w14:paraId="6F33BF3D" w14:textId="4B5EF37D" w:rsidR="00DB1753" w:rsidRPr="001C1E4D" w:rsidRDefault="00DB1753" w:rsidP="001C1E4D">
      <w:pPr>
        <w:pStyle w:val="ListParagraph"/>
        <w:numPr>
          <w:ilvl w:val="0"/>
          <w:numId w:val="1"/>
        </w:numPr>
        <w:spacing w:after="0"/>
        <w:rPr>
          <w:szCs w:val="20"/>
        </w:rPr>
      </w:pPr>
      <w:r w:rsidRPr="001C1E4D">
        <w:rPr>
          <w:szCs w:val="20"/>
        </w:rPr>
        <w:t>Personnel, payroll, and human resources (HR) activities</w:t>
      </w:r>
    </w:p>
    <w:p w14:paraId="2F3C75FB" w14:textId="0B749121" w:rsidR="00DB1753" w:rsidRPr="001C1E4D" w:rsidRDefault="00DB1753" w:rsidP="001C1E4D">
      <w:pPr>
        <w:pStyle w:val="ListParagraph"/>
        <w:numPr>
          <w:ilvl w:val="0"/>
          <w:numId w:val="1"/>
        </w:numPr>
        <w:spacing w:after="0"/>
        <w:rPr>
          <w:szCs w:val="20"/>
        </w:rPr>
      </w:pPr>
      <w:r w:rsidRPr="001C1E4D">
        <w:rPr>
          <w:szCs w:val="20"/>
        </w:rPr>
        <w:t>Communications</w:t>
      </w:r>
    </w:p>
    <w:p w14:paraId="3D86EA89" w14:textId="678C9B99" w:rsidR="00DB1753" w:rsidRPr="001C1E4D" w:rsidRDefault="00DB1753" w:rsidP="001C1E4D">
      <w:pPr>
        <w:pStyle w:val="ListParagraph"/>
        <w:numPr>
          <w:ilvl w:val="0"/>
          <w:numId w:val="1"/>
        </w:numPr>
        <w:spacing w:after="0"/>
        <w:rPr>
          <w:szCs w:val="20"/>
        </w:rPr>
      </w:pPr>
      <w:r w:rsidRPr="001C1E4D">
        <w:rPr>
          <w:szCs w:val="20"/>
        </w:rPr>
        <w:t>Project management</w:t>
      </w:r>
    </w:p>
    <w:p w14:paraId="7BE06720" w14:textId="594BC587" w:rsidR="00DB1753" w:rsidRPr="001C1E4D" w:rsidRDefault="00DB1753" w:rsidP="001C1E4D">
      <w:pPr>
        <w:pStyle w:val="ListParagraph"/>
        <w:numPr>
          <w:ilvl w:val="0"/>
          <w:numId w:val="1"/>
        </w:numPr>
        <w:spacing w:after="0"/>
        <w:rPr>
          <w:szCs w:val="20"/>
        </w:rPr>
      </w:pPr>
      <w:r w:rsidRPr="001C1E4D">
        <w:rPr>
          <w:szCs w:val="20"/>
        </w:rPr>
        <w:t>Consultants</w:t>
      </w:r>
    </w:p>
    <w:p w14:paraId="474F2F17" w14:textId="1D9C785B" w:rsidR="006B3DA9" w:rsidRPr="006B3DA9" w:rsidRDefault="006B3DA9" w:rsidP="006B3DA9">
      <w:pPr>
        <w:pStyle w:val="ListParagraph"/>
        <w:numPr>
          <w:ilvl w:val="0"/>
          <w:numId w:val="1"/>
        </w:numPr>
        <w:spacing w:after="0"/>
        <w:rPr>
          <w:szCs w:val="20"/>
        </w:rPr>
      </w:pPr>
      <w:r>
        <w:rPr>
          <w:szCs w:val="20"/>
        </w:rPr>
        <w:t>Recruitment costs to hire project staff</w:t>
      </w:r>
    </w:p>
    <w:p w14:paraId="42221D36" w14:textId="5721433D" w:rsidR="006F12D3" w:rsidRPr="001C1E4D" w:rsidRDefault="006F12D3" w:rsidP="001C1E4D">
      <w:pPr>
        <w:pStyle w:val="ListParagraph"/>
        <w:numPr>
          <w:ilvl w:val="0"/>
          <w:numId w:val="1"/>
        </w:numPr>
        <w:spacing w:after="0"/>
        <w:rPr>
          <w:szCs w:val="20"/>
        </w:rPr>
      </w:pPr>
      <w:r>
        <w:rPr>
          <w:szCs w:val="20"/>
        </w:rPr>
        <w:t>Staff effort to prepare required reports</w:t>
      </w:r>
    </w:p>
    <w:p w14:paraId="16EF21CB" w14:textId="26E612A0" w:rsidR="006F12D3" w:rsidRPr="006F12D3" w:rsidRDefault="006B3DA9" w:rsidP="006F12D3">
      <w:pPr>
        <w:pStyle w:val="ListParagraph"/>
        <w:numPr>
          <w:ilvl w:val="0"/>
          <w:numId w:val="1"/>
        </w:numPr>
        <w:spacing w:after="0"/>
        <w:rPr>
          <w:szCs w:val="20"/>
        </w:rPr>
      </w:pPr>
      <w:r>
        <w:rPr>
          <w:szCs w:val="20"/>
        </w:rPr>
        <w:t xml:space="preserve">Office supplies for project staff </w:t>
      </w:r>
      <w:r w:rsidR="004C65EB">
        <w:rPr>
          <w:szCs w:val="20"/>
        </w:rPr>
        <w:t xml:space="preserve">and/or support staff </w:t>
      </w:r>
      <w:r>
        <w:rPr>
          <w:szCs w:val="20"/>
        </w:rPr>
        <w:t xml:space="preserve">(printers, paper, ink/toner, pens, notebooks, </w:t>
      </w:r>
      <w:r w:rsidR="006F12D3">
        <w:rPr>
          <w:szCs w:val="20"/>
        </w:rPr>
        <w:t>etc.)</w:t>
      </w:r>
    </w:p>
    <w:p w14:paraId="7F136B8F" w14:textId="77226B6D" w:rsidR="006F12D3" w:rsidRDefault="006F12D3" w:rsidP="006F12D3">
      <w:pPr>
        <w:pStyle w:val="ListParagraph"/>
        <w:numPr>
          <w:ilvl w:val="0"/>
          <w:numId w:val="1"/>
        </w:numPr>
        <w:spacing w:after="0"/>
        <w:rPr>
          <w:szCs w:val="20"/>
        </w:rPr>
      </w:pPr>
      <w:r>
        <w:rPr>
          <w:szCs w:val="20"/>
        </w:rPr>
        <w:t>Computers and peripherals (headsets, mice, keyboards, webcams, etc.)</w:t>
      </w:r>
    </w:p>
    <w:p w14:paraId="0BEB0BB0" w14:textId="6F044A93" w:rsidR="006B3DA9" w:rsidRDefault="006B3DA9" w:rsidP="001C1E4D">
      <w:pPr>
        <w:pStyle w:val="ListParagraph"/>
        <w:numPr>
          <w:ilvl w:val="0"/>
          <w:numId w:val="1"/>
        </w:numPr>
        <w:spacing w:after="0"/>
        <w:rPr>
          <w:szCs w:val="20"/>
        </w:rPr>
      </w:pPr>
      <w:r>
        <w:rPr>
          <w:szCs w:val="20"/>
        </w:rPr>
        <w:t xml:space="preserve">Office equipment for project staff (chairs, </w:t>
      </w:r>
      <w:r w:rsidR="006F12D3">
        <w:rPr>
          <w:szCs w:val="20"/>
        </w:rPr>
        <w:t>ergonomic items, etc.)</w:t>
      </w:r>
    </w:p>
    <w:p w14:paraId="12ADD0BB" w14:textId="597E5B29" w:rsidR="00E533B5" w:rsidRPr="001C1E4D" w:rsidRDefault="00E533B5" w:rsidP="001C1E4D">
      <w:pPr>
        <w:pStyle w:val="ListParagraph"/>
        <w:numPr>
          <w:ilvl w:val="0"/>
          <w:numId w:val="1"/>
        </w:numPr>
        <w:spacing w:after="0"/>
        <w:rPr>
          <w:szCs w:val="20"/>
        </w:rPr>
      </w:pPr>
      <w:r>
        <w:rPr>
          <w:szCs w:val="20"/>
        </w:rPr>
        <w:t>Rent or space</w:t>
      </w:r>
    </w:p>
    <w:p w14:paraId="0D537D6F" w14:textId="6CE5D329" w:rsidR="001C1E4D" w:rsidRDefault="00DB1753" w:rsidP="001C1E4D">
      <w:pPr>
        <w:pStyle w:val="ListParagraph"/>
        <w:numPr>
          <w:ilvl w:val="0"/>
          <w:numId w:val="1"/>
        </w:numPr>
        <w:spacing w:after="0"/>
        <w:rPr>
          <w:szCs w:val="20"/>
        </w:rPr>
      </w:pPr>
      <w:r w:rsidRPr="001C1E4D">
        <w:rPr>
          <w:szCs w:val="20"/>
        </w:rPr>
        <w:t>IT support</w:t>
      </w:r>
    </w:p>
    <w:p w14:paraId="1424AE3A" w14:textId="6ADA8D18" w:rsidR="004C65EB" w:rsidRPr="004C65EB" w:rsidRDefault="004C65EB" w:rsidP="004C65EB">
      <w:pPr>
        <w:pStyle w:val="ListParagraph"/>
        <w:numPr>
          <w:ilvl w:val="0"/>
          <w:numId w:val="1"/>
        </w:numPr>
        <w:spacing w:after="0"/>
        <w:rPr>
          <w:szCs w:val="20"/>
        </w:rPr>
      </w:pPr>
      <w:r>
        <w:rPr>
          <w:szCs w:val="20"/>
        </w:rPr>
        <w:t>Mobile phones</w:t>
      </w:r>
    </w:p>
    <w:p w14:paraId="17484EDA" w14:textId="5D63BFDD" w:rsidR="001C1E4D" w:rsidRDefault="001C1E4D" w:rsidP="001C1E4D">
      <w:pPr>
        <w:pStyle w:val="ListParagraph"/>
        <w:numPr>
          <w:ilvl w:val="0"/>
          <w:numId w:val="1"/>
        </w:numPr>
        <w:spacing w:after="0"/>
        <w:rPr>
          <w:szCs w:val="20"/>
        </w:rPr>
      </w:pPr>
      <w:r>
        <w:rPr>
          <w:szCs w:val="20"/>
        </w:rPr>
        <w:t>Tech subsidies</w:t>
      </w:r>
    </w:p>
    <w:p w14:paraId="56C45BB9" w14:textId="330E3EDE" w:rsidR="004C65EB" w:rsidRDefault="004C65EB" w:rsidP="001C1E4D">
      <w:pPr>
        <w:pStyle w:val="ListParagraph"/>
        <w:numPr>
          <w:ilvl w:val="0"/>
          <w:numId w:val="1"/>
        </w:numPr>
        <w:spacing w:after="0"/>
        <w:rPr>
          <w:szCs w:val="20"/>
        </w:rPr>
      </w:pPr>
      <w:r>
        <w:rPr>
          <w:szCs w:val="20"/>
        </w:rPr>
        <w:t>Network charges</w:t>
      </w:r>
    </w:p>
    <w:p w14:paraId="5CC28A10" w14:textId="16FD7130" w:rsidR="001C1E4D" w:rsidRDefault="001C1E4D" w:rsidP="001C1E4D">
      <w:pPr>
        <w:pStyle w:val="ListParagraph"/>
        <w:numPr>
          <w:ilvl w:val="0"/>
          <w:numId w:val="1"/>
        </w:numPr>
        <w:spacing w:after="0"/>
        <w:rPr>
          <w:szCs w:val="20"/>
        </w:rPr>
      </w:pPr>
      <w:r>
        <w:rPr>
          <w:szCs w:val="20"/>
        </w:rPr>
        <w:t>Software</w:t>
      </w:r>
    </w:p>
    <w:p w14:paraId="13EC0732" w14:textId="425C6043" w:rsidR="004C65EB" w:rsidRDefault="004C65EB" w:rsidP="001C1E4D">
      <w:pPr>
        <w:pStyle w:val="ListParagraph"/>
        <w:numPr>
          <w:ilvl w:val="0"/>
          <w:numId w:val="1"/>
        </w:numPr>
        <w:spacing w:after="0"/>
        <w:rPr>
          <w:szCs w:val="20"/>
        </w:rPr>
      </w:pPr>
      <w:r>
        <w:rPr>
          <w:szCs w:val="20"/>
        </w:rPr>
        <w:t>Data storage</w:t>
      </w:r>
    </w:p>
    <w:p w14:paraId="25AD3071" w14:textId="02C0EA09" w:rsidR="001C1E4D" w:rsidRPr="008E5194" w:rsidRDefault="001C1E4D" w:rsidP="00DB1753">
      <w:pPr>
        <w:pStyle w:val="ListParagraph"/>
        <w:numPr>
          <w:ilvl w:val="0"/>
          <w:numId w:val="1"/>
        </w:numPr>
        <w:spacing w:after="0"/>
        <w:rPr>
          <w:szCs w:val="20"/>
        </w:rPr>
      </w:pPr>
      <w:r w:rsidRPr="008E5194">
        <w:rPr>
          <w:szCs w:val="20"/>
        </w:rPr>
        <w:t>Training and professional development resources</w:t>
      </w:r>
    </w:p>
    <w:sectPr w:rsidR="001C1E4D" w:rsidRPr="008E51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C4C0" w14:textId="77777777" w:rsidR="008246E0" w:rsidRDefault="008246E0" w:rsidP="00E65304">
      <w:pPr>
        <w:spacing w:after="0" w:line="240" w:lineRule="auto"/>
      </w:pPr>
      <w:r>
        <w:separator/>
      </w:r>
    </w:p>
  </w:endnote>
  <w:endnote w:type="continuationSeparator" w:id="0">
    <w:p w14:paraId="2040D2E5" w14:textId="77777777" w:rsidR="008246E0" w:rsidRDefault="008246E0"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308"/>
      <w:gridCol w:w="2052"/>
    </w:tblGrid>
    <w:tr w:rsidR="004571D7" w:rsidRPr="0095447B" w14:paraId="26EC5C48" w14:textId="77777777" w:rsidTr="004134BB">
      <w:tc>
        <w:tcPr>
          <w:tcW w:w="3904" w:type="pct"/>
          <w:tcBorders>
            <w:top w:val="single" w:sz="4" w:space="0" w:color="000000" w:themeColor="text1"/>
          </w:tcBorders>
          <w:vAlign w:val="center"/>
        </w:tcPr>
        <w:p w14:paraId="26EC5C46" w14:textId="77777777" w:rsidR="004571D7" w:rsidRPr="0095447B" w:rsidRDefault="008246E0"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4571D7" w:rsidRPr="0095447B">
                <w:rPr>
                  <w:szCs w:val="20"/>
                </w:rPr>
                <w:t>ASU – Research Operations</w:t>
              </w:r>
            </w:sdtContent>
          </w:sdt>
        </w:p>
      </w:tc>
      <w:tc>
        <w:tcPr>
          <w:tcW w:w="1096" w:type="pct"/>
          <w:tcBorders>
            <w:top w:val="single" w:sz="4" w:space="0" w:color="C0504D" w:themeColor="accent2"/>
          </w:tcBorders>
          <w:shd w:val="clear" w:color="auto" w:fill="943634" w:themeFill="accent2" w:themeFillShade="BF"/>
          <w:vAlign w:val="center"/>
        </w:tcPr>
        <w:p w14:paraId="26EC5C47" w14:textId="54011D11" w:rsidR="004571D7" w:rsidRPr="0095447B" w:rsidRDefault="006F7F41" w:rsidP="00533A33">
          <w:pPr>
            <w:pStyle w:val="Header"/>
            <w:rPr>
              <w:color w:val="FFFFFF" w:themeColor="background1"/>
              <w:szCs w:val="20"/>
            </w:rPr>
          </w:pPr>
          <w:r w:rsidRPr="0095447B">
            <w:rPr>
              <w:color w:val="FFFFFF" w:themeColor="background1"/>
              <w:szCs w:val="20"/>
            </w:rPr>
            <w:t xml:space="preserve">Page </w:t>
          </w:r>
          <w:r w:rsidRPr="0095447B">
            <w:rPr>
              <w:bCs/>
              <w:color w:val="FFFFFF" w:themeColor="background1"/>
              <w:szCs w:val="20"/>
            </w:rPr>
            <w:fldChar w:fldCharType="begin"/>
          </w:r>
          <w:r w:rsidRPr="0095447B">
            <w:rPr>
              <w:bCs/>
              <w:color w:val="FFFFFF" w:themeColor="background1"/>
              <w:szCs w:val="20"/>
            </w:rPr>
            <w:instrText xml:space="preserve"> PAGE  \* Arabic  \* MERGEFORMAT </w:instrText>
          </w:r>
          <w:r w:rsidRPr="0095447B">
            <w:rPr>
              <w:bCs/>
              <w:color w:val="FFFFFF" w:themeColor="background1"/>
              <w:szCs w:val="20"/>
            </w:rPr>
            <w:fldChar w:fldCharType="separate"/>
          </w:r>
          <w:r w:rsidR="00292281">
            <w:rPr>
              <w:bCs/>
              <w:noProof/>
              <w:color w:val="FFFFFF" w:themeColor="background1"/>
              <w:szCs w:val="20"/>
            </w:rPr>
            <w:t>1</w:t>
          </w:r>
          <w:r w:rsidRPr="0095447B">
            <w:rPr>
              <w:bCs/>
              <w:color w:val="FFFFFF" w:themeColor="background1"/>
              <w:szCs w:val="20"/>
            </w:rPr>
            <w:fldChar w:fldCharType="end"/>
          </w:r>
          <w:r w:rsidRPr="0095447B">
            <w:rPr>
              <w:color w:val="FFFFFF" w:themeColor="background1"/>
              <w:szCs w:val="20"/>
            </w:rPr>
            <w:t xml:space="preserve"> of </w:t>
          </w:r>
          <w:r w:rsidRPr="0095447B">
            <w:rPr>
              <w:bCs/>
              <w:color w:val="FFFFFF" w:themeColor="background1"/>
              <w:szCs w:val="20"/>
            </w:rPr>
            <w:fldChar w:fldCharType="begin"/>
          </w:r>
          <w:r w:rsidRPr="0095447B">
            <w:rPr>
              <w:bCs/>
              <w:color w:val="FFFFFF" w:themeColor="background1"/>
              <w:szCs w:val="20"/>
            </w:rPr>
            <w:instrText xml:space="preserve"> NUMPAGES  \* Arabic  \* MERGEFORMAT </w:instrText>
          </w:r>
          <w:r w:rsidRPr="0095447B">
            <w:rPr>
              <w:bCs/>
              <w:color w:val="FFFFFF" w:themeColor="background1"/>
              <w:szCs w:val="20"/>
            </w:rPr>
            <w:fldChar w:fldCharType="separate"/>
          </w:r>
          <w:r w:rsidR="00292281">
            <w:rPr>
              <w:bCs/>
              <w:noProof/>
              <w:color w:val="FFFFFF" w:themeColor="background1"/>
              <w:szCs w:val="20"/>
            </w:rPr>
            <w:t>1</w:t>
          </w:r>
          <w:r w:rsidRPr="0095447B">
            <w:rPr>
              <w:bCs/>
              <w:color w:val="FFFFFF" w:themeColor="background1"/>
              <w:szCs w:val="20"/>
            </w:rPr>
            <w:fldChar w:fldCharType="end"/>
          </w:r>
        </w:p>
      </w:tc>
    </w:tr>
  </w:tbl>
  <w:p w14:paraId="26EC5C49" w14:textId="77777777" w:rsidR="004571D7" w:rsidRDefault="004571D7"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6E3F" w14:textId="77777777" w:rsidR="008246E0" w:rsidRDefault="008246E0" w:rsidP="00E65304">
      <w:pPr>
        <w:spacing w:after="0" w:line="240" w:lineRule="auto"/>
      </w:pPr>
      <w:r>
        <w:separator/>
      </w:r>
    </w:p>
  </w:footnote>
  <w:footnote w:type="continuationSeparator" w:id="0">
    <w:p w14:paraId="0441B952" w14:textId="77777777" w:rsidR="008246E0" w:rsidRDefault="008246E0" w:rsidP="00E6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4571D7" w:rsidRPr="008E0136" w14:paraId="26EC5C44" w14:textId="77777777" w:rsidTr="00533A33">
      <w:tc>
        <w:tcPr>
          <w:tcW w:w="3500" w:type="pct"/>
          <w:tcBorders>
            <w:bottom w:val="single" w:sz="4" w:space="0" w:color="auto"/>
          </w:tcBorders>
          <w:vAlign w:val="center"/>
        </w:tcPr>
        <w:p w14:paraId="26EC5C42" w14:textId="05D96140" w:rsidR="004571D7" w:rsidRPr="00D65D70" w:rsidRDefault="00DB1753" w:rsidP="0032643D">
          <w:pPr>
            <w:pStyle w:val="Header"/>
            <w:rPr>
              <w:b/>
              <w:noProof/>
              <w:color w:val="76923C" w:themeColor="accent3" w:themeShade="BF"/>
              <w:sz w:val="28"/>
              <w:szCs w:val="28"/>
            </w:rPr>
          </w:pPr>
          <w:r w:rsidRPr="00DB1753">
            <w:rPr>
              <w:b/>
              <w:noProof/>
              <w:sz w:val="28"/>
              <w:szCs w:val="28"/>
            </w:rPr>
            <w:t>Administrative Costs to Consider on Non-federal Awards</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22-04-1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14:paraId="26EC5C43" w14:textId="7B140E57" w:rsidR="004571D7" w:rsidRPr="008E0136" w:rsidRDefault="00DB1753" w:rsidP="00533A33">
              <w:pPr>
                <w:pStyle w:val="Header"/>
                <w:rPr>
                  <w:color w:val="FFFFFF" w:themeColor="background1"/>
                </w:rPr>
              </w:pPr>
              <w:r>
                <w:rPr>
                  <w:color w:val="FFFFFF" w:themeColor="background1"/>
                </w:rPr>
                <w:t>April 11, 2022</w:t>
              </w:r>
            </w:p>
          </w:tc>
        </w:sdtContent>
      </w:sdt>
    </w:tr>
  </w:tbl>
  <w:p w14:paraId="26EC5C45" w14:textId="77777777" w:rsidR="004571D7" w:rsidRDefault="0045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379D"/>
    <w:multiLevelType w:val="hybridMultilevel"/>
    <w:tmpl w:val="9C40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1"/>
    <w:rsid w:val="0004375A"/>
    <w:rsid w:val="000B2E95"/>
    <w:rsid w:val="000C4FB8"/>
    <w:rsid w:val="000F7A0F"/>
    <w:rsid w:val="00174B75"/>
    <w:rsid w:val="001A2432"/>
    <w:rsid w:val="001B1FFF"/>
    <w:rsid w:val="001C1E4D"/>
    <w:rsid w:val="001C6EBD"/>
    <w:rsid w:val="001F5FB2"/>
    <w:rsid w:val="0021660E"/>
    <w:rsid w:val="002304D0"/>
    <w:rsid w:val="00292281"/>
    <w:rsid w:val="002A12A7"/>
    <w:rsid w:val="002B5224"/>
    <w:rsid w:val="002C6764"/>
    <w:rsid w:val="0032643D"/>
    <w:rsid w:val="003B2EDE"/>
    <w:rsid w:val="003C7EA0"/>
    <w:rsid w:val="003D514C"/>
    <w:rsid w:val="003E33B6"/>
    <w:rsid w:val="004134BB"/>
    <w:rsid w:val="004571D7"/>
    <w:rsid w:val="00484A3E"/>
    <w:rsid w:val="004C65EB"/>
    <w:rsid w:val="004E2BF6"/>
    <w:rsid w:val="004F6DCB"/>
    <w:rsid w:val="00514544"/>
    <w:rsid w:val="0051673F"/>
    <w:rsid w:val="00533A33"/>
    <w:rsid w:val="00540774"/>
    <w:rsid w:val="005437DB"/>
    <w:rsid w:val="005640CB"/>
    <w:rsid w:val="00584227"/>
    <w:rsid w:val="0059571D"/>
    <w:rsid w:val="005A5807"/>
    <w:rsid w:val="005C298D"/>
    <w:rsid w:val="005C5E4D"/>
    <w:rsid w:val="005E58ED"/>
    <w:rsid w:val="00601F71"/>
    <w:rsid w:val="0060404A"/>
    <w:rsid w:val="00614CD9"/>
    <w:rsid w:val="00683C7A"/>
    <w:rsid w:val="006B3DA9"/>
    <w:rsid w:val="006D7CDC"/>
    <w:rsid w:val="006E102A"/>
    <w:rsid w:val="006F12D3"/>
    <w:rsid w:val="006F7F41"/>
    <w:rsid w:val="0072785A"/>
    <w:rsid w:val="0073138C"/>
    <w:rsid w:val="00746840"/>
    <w:rsid w:val="007A26F3"/>
    <w:rsid w:val="007E4C73"/>
    <w:rsid w:val="007F5E35"/>
    <w:rsid w:val="008002C2"/>
    <w:rsid w:val="00816777"/>
    <w:rsid w:val="008246E0"/>
    <w:rsid w:val="008B1F5D"/>
    <w:rsid w:val="008B7A32"/>
    <w:rsid w:val="008C4284"/>
    <w:rsid w:val="008E0136"/>
    <w:rsid w:val="008E5194"/>
    <w:rsid w:val="00913047"/>
    <w:rsid w:val="0095447B"/>
    <w:rsid w:val="00965B23"/>
    <w:rsid w:val="00976D69"/>
    <w:rsid w:val="00986248"/>
    <w:rsid w:val="009F3834"/>
    <w:rsid w:val="009F3839"/>
    <w:rsid w:val="009F56C8"/>
    <w:rsid w:val="00A035B2"/>
    <w:rsid w:val="00A306D3"/>
    <w:rsid w:val="00A57B2A"/>
    <w:rsid w:val="00A61D48"/>
    <w:rsid w:val="00AC0FCD"/>
    <w:rsid w:val="00AC623F"/>
    <w:rsid w:val="00AE0B70"/>
    <w:rsid w:val="00AF0D9F"/>
    <w:rsid w:val="00B03852"/>
    <w:rsid w:val="00B03FAA"/>
    <w:rsid w:val="00B10AA8"/>
    <w:rsid w:val="00B62AE2"/>
    <w:rsid w:val="00B91418"/>
    <w:rsid w:val="00BE33DB"/>
    <w:rsid w:val="00C36A52"/>
    <w:rsid w:val="00C44EC7"/>
    <w:rsid w:val="00C67225"/>
    <w:rsid w:val="00C77FC6"/>
    <w:rsid w:val="00D00F72"/>
    <w:rsid w:val="00D21FA1"/>
    <w:rsid w:val="00D24C09"/>
    <w:rsid w:val="00D25382"/>
    <w:rsid w:val="00D65D70"/>
    <w:rsid w:val="00D66B87"/>
    <w:rsid w:val="00DA2791"/>
    <w:rsid w:val="00DB1753"/>
    <w:rsid w:val="00DD2431"/>
    <w:rsid w:val="00DD6EF1"/>
    <w:rsid w:val="00DE15FC"/>
    <w:rsid w:val="00E14200"/>
    <w:rsid w:val="00E533B5"/>
    <w:rsid w:val="00E65304"/>
    <w:rsid w:val="00E771C1"/>
    <w:rsid w:val="00E8129F"/>
    <w:rsid w:val="00ED45E5"/>
    <w:rsid w:val="00EE1E3E"/>
    <w:rsid w:val="00F37C26"/>
    <w:rsid w:val="00F42D51"/>
    <w:rsid w:val="00F60DCA"/>
    <w:rsid w:val="00F64555"/>
    <w:rsid w:val="00F7734D"/>
    <w:rsid w:val="00FA30F0"/>
    <w:rsid w:val="00FD2B55"/>
    <w:rsid w:val="2AB5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C5C2E"/>
  <w15:docId w15:val="{A5AD79EF-A7E6-49D4-AD9B-8C569F7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5437DB"/>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5437DB"/>
    <w:rPr>
      <w:b/>
      <w:sz w:val="22"/>
    </w:rPr>
  </w:style>
  <w:style w:type="character" w:customStyle="1" w:styleId="Heading5Char">
    <w:name w:val="Heading_5 Char"/>
    <w:basedOn w:val="DefaultParagraphFont"/>
    <w:link w:val="Heading5"/>
    <w:rsid w:val="005437DB"/>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5437DB"/>
    <w:rPr>
      <w:rFonts w:ascii="Verdana" w:hAnsi="Verdana"/>
      <w:b/>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character" w:styleId="FollowedHyperlink">
    <w:name w:val="FollowedHyperlink"/>
    <w:basedOn w:val="DefaultParagraphFont"/>
    <w:uiPriority w:val="99"/>
    <w:semiHidden/>
    <w:unhideWhenUsed/>
    <w:rsid w:val="00DB1753"/>
    <w:rPr>
      <w:color w:val="800080" w:themeColor="followedHyperlink"/>
      <w:u w:val="single"/>
    </w:rPr>
  </w:style>
  <w:style w:type="character" w:styleId="UnresolvedMention">
    <w:name w:val="Unresolved Mention"/>
    <w:basedOn w:val="DefaultParagraphFont"/>
    <w:uiPriority w:val="99"/>
    <w:semiHidden/>
    <w:unhideWhenUsed/>
    <w:rsid w:val="00DB1753"/>
    <w:rPr>
      <w:color w:val="605E5C"/>
      <w:shd w:val="clear" w:color="auto" w:fill="E1DFDD"/>
    </w:rPr>
  </w:style>
  <w:style w:type="paragraph" w:styleId="ListParagraph">
    <w:name w:val="List Paragraph"/>
    <w:basedOn w:val="Normal"/>
    <w:uiPriority w:val="34"/>
    <w:rsid w:val="001C1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admin.asu.edu/working-with-asuf/charitable-gra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bento\Dropbox%20(ASU)\Job-Ai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2022-04-11T00:00:00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41381B40A5E40992EE6DB27273FBD" ma:contentTypeVersion="4" ma:contentTypeDescription="Create a new document." ma:contentTypeScope="" ma:versionID="39b5cfaa2ba4d43862d22414ebdf80a0">
  <xsd:schema xmlns:xsd="http://www.w3.org/2001/XMLSchema" xmlns:xs="http://www.w3.org/2001/XMLSchema" xmlns:p="http://schemas.microsoft.com/office/2006/metadata/properties" xmlns:ns2="49c084f9-7f31-47e6-b2b1-902b4a375aa9" targetNamespace="http://schemas.microsoft.com/office/2006/metadata/properties" ma:root="true" ma:fieldsID="13e81b2359aa5cc4366bf8753c9a0546" ns2:_="">
    <xsd:import namespace="49c084f9-7f31-47e6-b2b1-902b4a375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084f9-7f31-47e6-b2b1-902b4a375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5669DA-47CB-42FA-9D3D-A9ADCD1756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797B4-A930-4CFC-B68A-BD0F35B0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084f9-7f31-47e6-b2b1-902b4a375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7A8DE-F567-41ED-8F4D-061E69837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Job-Aid-Template</Template>
  <TotalTime>3</TotalTime>
  <Pages>1</Pages>
  <Words>257</Words>
  <Characters>1471</Characters>
  <Application>Microsoft Office Word</Application>
  <DocSecurity>0</DocSecurity>
  <Lines>12</Lines>
  <Paragraphs>3</Paragraphs>
  <ScaleCrop>false</ScaleCrop>
  <Company>ASU – Research Operations</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mlobento</dc:creator>
  <cp:lastModifiedBy>Jessica Robins</cp:lastModifiedBy>
  <cp:revision>3</cp:revision>
  <dcterms:created xsi:type="dcterms:W3CDTF">2022-04-07T19:08:00Z</dcterms:created>
  <dcterms:modified xsi:type="dcterms:W3CDTF">2022-04-07T19:11:00Z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0x0101000E941381B40A5E40992EE6DB27273FBD</vt:lpwstr>
  </property>
  <property fmtid="{D5CDD505-2E9C-101B-9397-08002B2CF9AE}" pid="3" name="Approval Level">
    <vt:lpwstr/>
  </property>
  <property fmtid="{D5CDD505-2E9C-101B-9397-08002B2CF9AE}" pid="4" name="Order">
    <vt:r8>23800</vt:r8>
  </property>
</Properties>
</file>